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F3" w:rsidRDefault="008363F3" w14:paraId="7EA00A0C" w14:textId="77777777">
      <w:pPr>
        <w:rPr>
          <w:rFonts w:ascii="Arial" w:hAnsi="Arial" w:cs="Arial"/>
          <w:b/>
          <w:sz w:val="28"/>
          <w:szCs w:val="20"/>
        </w:rPr>
      </w:pPr>
    </w:p>
    <w:p w:rsidRPr="00636CFB" w:rsidR="00636CFB" w:rsidRDefault="00636CFB" w14:paraId="76DD16E3" w14:textId="2FA8ED30">
      <w:pPr>
        <w:rPr>
          <w:rFonts w:ascii="Arial" w:hAnsi="Arial" w:cs="Arial"/>
          <w:b/>
          <w:sz w:val="28"/>
          <w:szCs w:val="20"/>
        </w:rPr>
      </w:pPr>
      <w:r w:rsidRPr="00636CFB">
        <w:rPr>
          <w:rFonts w:ascii="Arial" w:hAnsi="Arial" w:cs="Arial"/>
          <w:b/>
          <w:sz w:val="28"/>
          <w:szCs w:val="20"/>
        </w:rPr>
        <w:t>Training Needs Assessment Template for Board Members</w:t>
      </w:r>
    </w:p>
    <w:p w:rsidRPr="00636CFB" w:rsidR="009568F5" w:rsidRDefault="0007408A" w14:paraId="2C078E63" w14:textId="24A5A4F4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Why </w:t>
      </w:r>
      <w:r w:rsidR="008363F3">
        <w:rPr>
          <w:rFonts w:ascii="Arial" w:hAnsi="Arial" w:cs="Arial"/>
          <w:b/>
          <w:sz w:val="24"/>
          <w:szCs w:val="20"/>
        </w:rPr>
        <w:t>c</w:t>
      </w:r>
      <w:bookmarkStart w:name="_GoBack" w:id="0"/>
      <w:bookmarkEnd w:id="0"/>
      <w:r>
        <w:rPr>
          <w:rFonts w:ascii="Arial" w:hAnsi="Arial" w:cs="Arial"/>
          <w:b/>
          <w:sz w:val="24"/>
          <w:szCs w:val="20"/>
        </w:rPr>
        <w:t>onduct</w:t>
      </w:r>
      <w:r w:rsidR="008363F3">
        <w:rPr>
          <w:rFonts w:ascii="Arial" w:hAnsi="Arial" w:cs="Arial"/>
          <w:b/>
          <w:sz w:val="24"/>
          <w:szCs w:val="20"/>
        </w:rPr>
        <w:t xml:space="preserve"> a</w:t>
      </w:r>
      <w:r w:rsidR="00636CFB">
        <w:rPr>
          <w:rFonts w:ascii="Arial" w:hAnsi="Arial" w:cs="Arial"/>
          <w:b/>
          <w:sz w:val="24"/>
          <w:szCs w:val="20"/>
        </w:rPr>
        <w:t xml:space="preserve"> </w:t>
      </w:r>
      <w:r w:rsidRPr="00636CFB" w:rsidR="7726EE5F">
        <w:rPr>
          <w:rFonts w:ascii="Arial" w:hAnsi="Arial" w:cs="Arial"/>
          <w:b/>
          <w:sz w:val="24"/>
          <w:szCs w:val="20"/>
        </w:rPr>
        <w:t>Training</w:t>
      </w:r>
      <w:r w:rsidRPr="00636CFB" w:rsidR="00DF6D6E">
        <w:rPr>
          <w:rFonts w:ascii="Arial" w:hAnsi="Arial" w:cs="Arial"/>
          <w:b/>
          <w:sz w:val="24"/>
          <w:szCs w:val="20"/>
        </w:rPr>
        <w:t xml:space="preserve"> Needs Assessment for Board Members</w:t>
      </w:r>
    </w:p>
    <w:p w:rsidRPr="00636CFB" w:rsidR="00DF6D6E" w:rsidP="7726EE5F" w:rsidRDefault="00636CFB" w14:paraId="27FC4E37" w14:textId="01D40820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>Nonprofits</w:t>
      </w:r>
      <w:r w:rsidRPr="00636CFB" w:rsidR="00DF6D6E">
        <w:rPr>
          <w:rFonts w:ascii="Arial" w:hAnsi="Arial" w:cs="Arial"/>
          <w:sz w:val="20"/>
          <w:szCs w:val="20"/>
        </w:rPr>
        <w:t xml:space="preserve"> often seek out Board members</w:t>
      </w:r>
      <w:r w:rsidRPr="00636CFB" w:rsidR="00B01072">
        <w:rPr>
          <w:rFonts w:ascii="Arial" w:hAnsi="Arial" w:cs="Arial"/>
          <w:sz w:val="20"/>
          <w:szCs w:val="20"/>
        </w:rPr>
        <w:t xml:space="preserve"> who bring valuable skills or experiences to the table</w:t>
      </w:r>
      <w:r w:rsidRPr="00636CFB">
        <w:rPr>
          <w:rFonts w:ascii="Arial" w:hAnsi="Arial" w:cs="Arial"/>
          <w:sz w:val="20"/>
          <w:szCs w:val="20"/>
        </w:rPr>
        <w:t xml:space="preserve"> but who may not have </w:t>
      </w:r>
      <w:r w:rsidRPr="00636CFB">
        <w:rPr>
          <w:rFonts w:ascii="Arial" w:hAnsi="Arial" w:cs="Arial"/>
          <w:sz w:val="20"/>
          <w:szCs w:val="20"/>
        </w:rPr>
        <w:t>previous experience on Boards or a background in corporate governance</w:t>
      </w:r>
      <w:r w:rsidRPr="00636CFB" w:rsidR="00B01072">
        <w:rPr>
          <w:rFonts w:ascii="Arial" w:hAnsi="Arial" w:cs="Arial"/>
          <w:sz w:val="20"/>
          <w:szCs w:val="20"/>
        </w:rPr>
        <w:t>.</w:t>
      </w:r>
      <w:r w:rsidRPr="00636CFB" w:rsidR="00B01072">
        <w:rPr>
          <w:rFonts w:ascii="Arial" w:hAnsi="Arial" w:cs="Arial"/>
          <w:sz w:val="20"/>
          <w:szCs w:val="20"/>
        </w:rPr>
        <w:t xml:space="preserve"> These Board members might represent the beneficiaries of the organization, have strong ties to the community or bring a specific skillset which the Board needs. While every Board member will bring their own area of expertise, it is important that every Board member has an understanding of nonprofit governance.</w:t>
      </w:r>
      <w:r w:rsidRPr="00636CFB">
        <w:rPr>
          <w:rFonts w:ascii="Arial" w:hAnsi="Arial" w:cs="Arial"/>
          <w:sz w:val="20"/>
          <w:szCs w:val="20"/>
        </w:rPr>
        <w:t xml:space="preserve"> The below template is designed to identify any gaps which the Board may need to address with training.</w:t>
      </w:r>
    </w:p>
    <w:p w:rsidRPr="00636CFB" w:rsidR="00B01072" w:rsidP="00B01072" w:rsidRDefault="00B01072" w14:paraId="42C5B539" w14:textId="77777777">
      <w:pPr>
        <w:rPr>
          <w:rFonts w:ascii="Arial" w:hAnsi="Arial" w:cs="Arial"/>
          <w:b/>
          <w:sz w:val="24"/>
          <w:szCs w:val="20"/>
        </w:rPr>
      </w:pPr>
      <w:r w:rsidRPr="00636CFB">
        <w:rPr>
          <w:rFonts w:ascii="Arial" w:hAnsi="Arial" w:cs="Arial"/>
          <w:b/>
          <w:sz w:val="24"/>
          <w:szCs w:val="20"/>
        </w:rPr>
        <w:t>How to use this template</w:t>
      </w:r>
    </w:p>
    <w:p w:rsidRPr="00636CFB" w:rsidR="00636CFB" w:rsidP="00B01072" w:rsidRDefault="00B01072" w14:paraId="3E8ADD80" w14:textId="77777777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 xml:space="preserve">The template on the next page gives a very basic list of areas Board members should be familiar with. </w:t>
      </w:r>
    </w:p>
    <w:p w:rsidRPr="00636CFB" w:rsidR="00B01072" w:rsidP="7F218FB4" w:rsidRDefault="00B01072" w14:paraId="54D0417A" w14:textId="574C118C">
      <w:pPr>
        <w:rPr>
          <w:rFonts w:ascii="Arial" w:hAnsi="Arial" w:cs="Arial"/>
          <w:sz w:val="20"/>
          <w:szCs w:val="20"/>
        </w:rPr>
      </w:pPr>
      <w:r w:rsidRPr="7F218FB4" w:rsidR="00B01072">
        <w:rPr>
          <w:rFonts w:ascii="Arial" w:hAnsi="Arial" w:cs="Arial"/>
          <w:sz w:val="20"/>
          <w:szCs w:val="20"/>
        </w:rPr>
        <w:t xml:space="preserve">For </w:t>
      </w:r>
      <w:r w:rsidRPr="7F218FB4" w:rsidR="00636CFB">
        <w:rPr>
          <w:rFonts w:ascii="Arial" w:hAnsi="Arial" w:cs="Arial"/>
          <w:sz w:val="20"/>
          <w:szCs w:val="20"/>
        </w:rPr>
        <w:t>a</w:t>
      </w:r>
      <w:r w:rsidRPr="7F218FB4" w:rsidR="00B010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7F218FB4" w:rsidR="00B01072">
        <w:rPr>
          <w:rFonts w:ascii="Arial" w:hAnsi="Arial" w:cs="Arial"/>
          <w:sz w:val="20"/>
          <w:szCs w:val="20"/>
        </w:rPr>
        <w:t>nonprofit</w:t>
      </w:r>
      <w:proofErr w:type="spellEnd"/>
      <w:r w:rsidRPr="7F218FB4" w:rsidR="00636CFB">
        <w:rPr>
          <w:rFonts w:ascii="Arial" w:hAnsi="Arial" w:cs="Arial"/>
          <w:sz w:val="20"/>
          <w:szCs w:val="20"/>
        </w:rPr>
        <w:t xml:space="preserve"> which is a company limited by guarantee and a charity</w:t>
      </w:r>
      <w:r w:rsidRPr="7F218FB4" w:rsidR="00B01072">
        <w:rPr>
          <w:rFonts w:ascii="Arial" w:hAnsi="Arial" w:cs="Arial"/>
          <w:sz w:val="20"/>
          <w:szCs w:val="20"/>
        </w:rPr>
        <w:t xml:space="preserve">, all Board members should score </w:t>
      </w:r>
      <w:r w:rsidRPr="7F218FB4" w:rsidR="00636CFB">
        <w:rPr>
          <w:rFonts w:ascii="Arial" w:hAnsi="Arial" w:cs="Arial"/>
          <w:sz w:val="20"/>
          <w:szCs w:val="20"/>
        </w:rPr>
        <w:t>higher</w:t>
      </w:r>
      <w:r w:rsidRPr="7F218FB4" w:rsidR="00B01072">
        <w:rPr>
          <w:rFonts w:ascii="Arial" w:hAnsi="Arial" w:cs="Arial"/>
          <w:sz w:val="20"/>
          <w:szCs w:val="20"/>
        </w:rPr>
        <w:t xml:space="preserve"> than 2 for areas 1-7. </w:t>
      </w:r>
      <w:r w:rsidRPr="7F218FB4" w:rsidR="00636CFB">
        <w:rPr>
          <w:rFonts w:ascii="Arial" w:hAnsi="Arial" w:cs="Arial"/>
          <w:sz w:val="20"/>
          <w:szCs w:val="20"/>
        </w:rPr>
        <w:t xml:space="preserve">Where a Board member scores 2 or less, this should be addressed. </w:t>
      </w:r>
    </w:p>
    <w:p w:rsidRPr="00636CFB" w:rsidR="00B01072" w:rsidP="00B01072" w:rsidRDefault="00B01072" w14:paraId="12F73E8B" w14:textId="4599E475">
      <w:pPr>
        <w:rPr>
          <w:rFonts w:ascii="Arial" w:hAnsi="Arial" w:cs="Arial"/>
          <w:sz w:val="20"/>
          <w:szCs w:val="20"/>
        </w:rPr>
      </w:pPr>
      <w:r w:rsidRPr="7F218FB4" w:rsidR="00636CFB">
        <w:rPr>
          <w:rFonts w:ascii="Arial" w:hAnsi="Arial" w:cs="Arial"/>
          <w:sz w:val="20"/>
          <w:szCs w:val="20"/>
        </w:rPr>
        <w:t>Areas 8 onwards should be adjusted depending on the specific role of the Board member and the needs of your organisation.</w:t>
      </w:r>
    </w:p>
    <w:p w:rsidRPr="00636CFB" w:rsidR="00636CFB" w:rsidP="00B01072" w:rsidRDefault="00636CFB" w14:paraId="456065C7" w14:textId="447E1E9E">
      <w:pPr>
        <w:rPr>
          <w:rFonts w:ascii="Arial" w:hAnsi="Arial" w:cs="Arial"/>
          <w:b/>
          <w:sz w:val="24"/>
          <w:szCs w:val="20"/>
        </w:rPr>
      </w:pPr>
      <w:r w:rsidRPr="00636CFB">
        <w:rPr>
          <w:rFonts w:ascii="Arial" w:hAnsi="Arial" w:cs="Arial"/>
          <w:sz w:val="20"/>
          <w:szCs w:val="20"/>
        </w:rPr>
        <w:t>This training needs assessment can be used for new Board members and on annual basis for continuing Board members. It may form part of a wider Board effectiveness review.</w:t>
      </w:r>
    </w:p>
    <w:p w:rsidRPr="00636CFB" w:rsidR="00636CFB" w:rsidP="00B01072" w:rsidRDefault="00636CFB" w14:paraId="68106579" w14:textId="35697BA0">
      <w:pPr>
        <w:rPr>
          <w:rFonts w:ascii="Arial" w:hAnsi="Arial" w:cs="Arial"/>
          <w:b/>
          <w:sz w:val="24"/>
          <w:szCs w:val="20"/>
        </w:rPr>
      </w:pPr>
      <w:r w:rsidRPr="00636CFB">
        <w:rPr>
          <w:rFonts w:ascii="Arial" w:hAnsi="Arial" w:cs="Arial"/>
          <w:b/>
          <w:sz w:val="24"/>
          <w:szCs w:val="20"/>
        </w:rPr>
        <w:t>How to address training needs</w:t>
      </w:r>
    </w:p>
    <w:p w:rsidRPr="00636CFB" w:rsidR="00636CFB" w:rsidP="00B01072" w:rsidRDefault="00636CFB" w14:paraId="2AB87601" w14:textId="5F864D1B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 xml:space="preserve">Carmichael offers a range of </w:t>
      </w:r>
      <w:hyperlink w:history="1" r:id="rId7">
        <w:r w:rsidRPr="00636CFB">
          <w:rPr>
            <w:rStyle w:val="Hyperlink"/>
            <w:rFonts w:ascii="Arial" w:hAnsi="Arial" w:cs="Arial"/>
            <w:sz w:val="20"/>
            <w:szCs w:val="20"/>
          </w:rPr>
          <w:t>scheduled training</w:t>
        </w:r>
      </w:hyperlink>
      <w:r w:rsidRPr="00636CFB">
        <w:rPr>
          <w:rFonts w:ascii="Arial" w:hAnsi="Arial" w:cs="Arial"/>
          <w:sz w:val="20"/>
          <w:szCs w:val="20"/>
        </w:rPr>
        <w:t xml:space="preserve"> and </w:t>
      </w:r>
      <w:hyperlink w:history="1" r:id="rId8">
        <w:r w:rsidRPr="00636CFB">
          <w:rPr>
            <w:rStyle w:val="Hyperlink"/>
            <w:rFonts w:ascii="Arial" w:hAnsi="Arial" w:cs="Arial"/>
            <w:sz w:val="20"/>
            <w:szCs w:val="20"/>
          </w:rPr>
          <w:t>resources</w:t>
        </w:r>
      </w:hyperlink>
      <w:r w:rsidRPr="00636CFB">
        <w:rPr>
          <w:rFonts w:ascii="Arial" w:hAnsi="Arial" w:cs="Arial"/>
          <w:sz w:val="20"/>
          <w:szCs w:val="20"/>
        </w:rPr>
        <w:t xml:space="preserve">. Carmichael can also provide training </w:t>
      </w:r>
      <w:r>
        <w:rPr>
          <w:rFonts w:ascii="Arial" w:hAnsi="Arial" w:cs="Arial"/>
          <w:sz w:val="20"/>
          <w:szCs w:val="20"/>
        </w:rPr>
        <w:t xml:space="preserve">or support which is </w:t>
      </w:r>
      <w:hyperlink w:history="1" r:id="rId9">
        <w:r w:rsidRPr="00636CFB">
          <w:rPr>
            <w:rStyle w:val="Hyperlink"/>
            <w:rFonts w:ascii="Arial" w:hAnsi="Arial" w:cs="Arial"/>
            <w:sz w:val="20"/>
            <w:szCs w:val="20"/>
          </w:rPr>
          <w:t>customised</w:t>
        </w:r>
      </w:hyperlink>
      <w:r w:rsidRPr="00636CFB">
        <w:rPr>
          <w:rFonts w:ascii="Arial" w:hAnsi="Arial" w:cs="Arial"/>
          <w:sz w:val="20"/>
          <w:szCs w:val="20"/>
        </w:rPr>
        <w:t xml:space="preserve"> for you</w:t>
      </w:r>
      <w:r>
        <w:rPr>
          <w:rFonts w:ascii="Arial" w:hAnsi="Arial" w:cs="Arial"/>
          <w:sz w:val="20"/>
          <w:szCs w:val="20"/>
        </w:rPr>
        <w:t xml:space="preserve">r Board. Our </w:t>
      </w:r>
      <w:hyperlink w:history="1" r:id="rId10">
        <w:r w:rsidRPr="00636CFB">
          <w:rPr>
            <w:rStyle w:val="Hyperlink"/>
            <w:rFonts w:ascii="Arial" w:hAnsi="Arial" w:cs="Arial"/>
            <w:sz w:val="20"/>
            <w:szCs w:val="20"/>
          </w:rPr>
          <w:t>Board Chairs Network</w:t>
        </w:r>
      </w:hyperlink>
      <w:r>
        <w:rPr>
          <w:rFonts w:ascii="Arial" w:hAnsi="Arial" w:cs="Arial"/>
          <w:sz w:val="20"/>
          <w:szCs w:val="20"/>
        </w:rPr>
        <w:t xml:space="preserve"> gives Chairs and Vice Chairs of nonprofit Boards the opportunity to meet and learn from each other. Our </w:t>
      </w:r>
      <w:hyperlink w:history="1" r:id="rId11">
        <w:r w:rsidRPr="00636CFB">
          <w:rPr>
            <w:rStyle w:val="Hyperlink"/>
            <w:rFonts w:ascii="Arial" w:hAnsi="Arial" w:cs="Arial"/>
            <w:sz w:val="20"/>
            <w:szCs w:val="20"/>
          </w:rPr>
          <w:t>podcast</w:t>
        </w:r>
      </w:hyperlink>
      <w:r>
        <w:rPr>
          <w:rFonts w:ascii="Arial" w:hAnsi="Arial" w:cs="Arial"/>
          <w:sz w:val="20"/>
          <w:szCs w:val="20"/>
        </w:rPr>
        <w:t xml:space="preserve"> covers a wide range of areas relating to good nonprofit governance.</w:t>
      </w:r>
    </w:p>
    <w:p w:rsidRPr="00636CFB" w:rsidR="00636CFB" w:rsidP="00B01072" w:rsidRDefault="00636CFB" w14:paraId="4A4B5D5C" w14:textId="77777777">
      <w:pPr>
        <w:rPr>
          <w:rFonts w:ascii="Arial" w:hAnsi="Arial" w:cs="Arial"/>
          <w:b/>
          <w:sz w:val="24"/>
          <w:szCs w:val="20"/>
        </w:rPr>
      </w:pPr>
    </w:p>
    <w:p w:rsidRPr="00636CFB" w:rsidR="00B01072" w:rsidRDefault="00B01072" w14:paraId="0BAD5DB0" w14:textId="77777777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br w:type="page"/>
      </w:r>
    </w:p>
    <w:p w:rsidRPr="00636CFB" w:rsidR="00B01072" w:rsidP="7726EE5F" w:rsidRDefault="00B01072" w14:paraId="36462C6E" w14:textId="77777777">
      <w:pPr>
        <w:rPr>
          <w:rFonts w:ascii="Arial" w:hAnsi="Arial" w:cs="Arial"/>
          <w:sz w:val="20"/>
          <w:szCs w:val="20"/>
        </w:rPr>
      </w:pPr>
    </w:p>
    <w:p w:rsidRPr="00636CFB" w:rsidR="00B01072" w:rsidP="7726EE5F" w:rsidRDefault="00B01072" w14:paraId="1F54DB24" w14:textId="4E44A6DE">
      <w:pPr>
        <w:rPr>
          <w:rFonts w:ascii="Arial" w:hAnsi="Arial" w:cs="Arial"/>
          <w:b/>
          <w:sz w:val="24"/>
          <w:szCs w:val="20"/>
        </w:rPr>
      </w:pPr>
      <w:r w:rsidRPr="00636CFB">
        <w:rPr>
          <w:rFonts w:ascii="Arial" w:hAnsi="Arial" w:cs="Arial"/>
          <w:b/>
          <w:sz w:val="24"/>
          <w:szCs w:val="20"/>
        </w:rPr>
        <w:t>Training Needs Assessment for Board Members</w:t>
      </w:r>
    </w:p>
    <w:p w:rsidRPr="00636CFB" w:rsidR="7726EE5F" w:rsidP="7726EE5F" w:rsidRDefault="7726EE5F" w14:paraId="739AEF9E" w14:textId="6C15E73C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 xml:space="preserve">Please rate your </w:t>
      </w:r>
      <w:r w:rsidRPr="00636CFB" w:rsidR="00DF6D6E">
        <w:rPr>
          <w:rFonts w:ascii="Arial" w:hAnsi="Arial" w:cs="Arial"/>
          <w:sz w:val="20"/>
          <w:szCs w:val="20"/>
        </w:rPr>
        <w:t xml:space="preserve">understanding of each of the below </w:t>
      </w:r>
      <w:r w:rsidRPr="00636CFB">
        <w:rPr>
          <w:rFonts w:ascii="Arial" w:hAnsi="Arial" w:cs="Arial"/>
          <w:sz w:val="20"/>
          <w:szCs w:val="20"/>
        </w:rPr>
        <w:t>on a scale of 1-4</w:t>
      </w:r>
    </w:p>
    <w:p w:rsidRPr="00636CFB" w:rsidR="7726EE5F" w:rsidP="7726EE5F" w:rsidRDefault="00DF6D6E" w14:paraId="60B26BE1" w14:textId="33A0FD64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>1= new to me</w:t>
      </w:r>
    </w:p>
    <w:p w:rsidRPr="00636CFB" w:rsidR="7726EE5F" w:rsidP="7726EE5F" w:rsidRDefault="7726EE5F" w14:paraId="71DB2672" w14:textId="437B6E2D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>2= needs refreshing</w:t>
      </w:r>
    </w:p>
    <w:p w:rsidRPr="00636CFB" w:rsidR="7726EE5F" w:rsidP="7726EE5F" w:rsidRDefault="7726EE5F" w14:paraId="3EE271C5" w14:textId="0FD68F4E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>3=adequate</w:t>
      </w:r>
    </w:p>
    <w:p w:rsidRPr="00636CFB" w:rsidR="7726EE5F" w:rsidP="7726EE5F" w:rsidRDefault="7726EE5F" w14:paraId="0FE75098" w14:textId="001FF565">
      <w:pPr>
        <w:rPr>
          <w:rFonts w:ascii="Arial" w:hAnsi="Arial" w:cs="Arial"/>
          <w:sz w:val="20"/>
          <w:szCs w:val="20"/>
        </w:rPr>
      </w:pPr>
      <w:r w:rsidRPr="00636CFB">
        <w:rPr>
          <w:rFonts w:ascii="Arial" w:hAnsi="Arial" w:cs="Arial"/>
          <w:sz w:val="20"/>
          <w:szCs w:val="20"/>
        </w:rPr>
        <w:t>4=advanced</w:t>
      </w: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4098"/>
        <w:gridCol w:w="2631"/>
        <w:gridCol w:w="2631"/>
      </w:tblGrid>
      <w:tr w:rsidRPr="00636CFB" w:rsidR="7726EE5F" w:rsidTr="00B01072" w14:paraId="03313536" w14:textId="77777777">
        <w:trPr>
          <w:trHeight w:val="540"/>
        </w:trPr>
        <w:tc>
          <w:tcPr>
            <w:tcW w:w="4098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DF6D6E" w:rsidRDefault="00B01072" w14:paraId="42D48C5D" w14:textId="093FC586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b/>
                <w:sz w:val="20"/>
                <w:szCs w:val="20"/>
              </w:rPr>
              <w:t>Area</w:t>
            </w:r>
          </w:p>
          <w:p w:rsidRPr="00636CFB" w:rsidR="00DF6D6E" w:rsidP="00DF6D6E" w:rsidRDefault="00DF6D6E" w14:paraId="7F8EABDB" w14:textId="7F60E23F">
            <w:pPr>
              <w:rPr>
                <w:rFonts w:ascii="Arial" w:hAnsi="Arial" w:eastAsia="Calibri" w:cs="Arial"/>
                <w:b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4D9C471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CFB">
              <w:rPr>
                <w:rFonts w:ascii="Arial" w:hAnsi="Arial" w:cs="Arial"/>
                <w:b/>
                <w:sz w:val="20"/>
                <w:szCs w:val="20"/>
              </w:rPr>
              <w:t>(Rating 1-4)</w:t>
            </w:r>
          </w:p>
          <w:p w:rsidRPr="00636CFB" w:rsidR="00DF6D6E" w:rsidP="00DF6D6E" w:rsidRDefault="00DF6D6E" w14:paraId="0104B3F2" w14:textId="30ABE5D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000000" w:sz="18" w:space="0"/>
              <w:right w:val="single" w:color="000000" w:sz="18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00DF6D6E" w14:paraId="00428ADC" w14:textId="66624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6CF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Pr="00636CFB" w:rsidR="7726EE5F" w:rsidTr="00B01072" w14:paraId="28876409" w14:textId="77777777">
        <w:trPr>
          <w:trHeight w:val="540"/>
        </w:trPr>
        <w:tc>
          <w:tcPr>
            <w:tcW w:w="4098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00DF6D6E" w14:paraId="390A1556" w14:textId="7C0BF04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Board Roles and Responsibilities</w:t>
            </w: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770BB828" w14:textId="230902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01691BF3" w14:textId="0BFE54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7726EE5F" w:rsidTr="00DF6D6E" w14:paraId="60C48794" w14:textId="77777777">
        <w:trPr>
          <w:trHeight w:val="585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00DF6D6E" w14:paraId="01B3367C" w14:textId="73BF096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Charities Act</w:t>
            </w:r>
            <w:r w:rsidRPr="00636CFB" w:rsidR="7726EE5F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  <w:r w:rsidRPr="00636CFB">
              <w:rPr>
                <w:rFonts w:ascii="Arial" w:hAnsi="Arial" w:eastAsia="Calibri" w:cs="Arial"/>
                <w:sz w:val="20"/>
                <w:szCs w:val="20"/>
              </w:rPr>
              <w:t>2009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6BA6F0B8" w14:textId="6A1EA1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5A25A8FC" w14:textId="0C2785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DF6D6E" w:rsidTr="00DF6D6E" w14:paraId="6D2CF1F6" w14:textId="77777777">
        <w:trPr>
          <w:trHeight w:val="585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DF6D6E" w:rsidP="00B01072" w:rsidRDefault="00DF6D6E" w14:paraId="4A21902E" w14:textId="60715D11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Companies Act 2014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DF6D6E" w:rsidP="00DF6D6E" w:rsidRDefault="00DF6D6E" w14:paraId="04A519F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DF6D6E" w:rsidP="00DF6D6E" w:rsidRDefault="00DF6D6E" w14:paraId="4CE0F53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7726EE5F" w:rsidTr="00DF6D6E" w14:paraId="68BDEE15" w14:textId="77777777">
        <w:trPr>
          <w:trHeight w:val="51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00DF6D6E" w14:paraId="593FD325" w14:textId="5F58F64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Charities Governance Code</w:t>
            </w:r>
            <w:r w:rsidRPr="00636CFB" w:rsidR="7726EE5F">
              <w:rPr>
                <w:rFonts w:ascii="Arial" w:hAnsi="Arial" w:eastAsia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11987886" w14:textId="257DD6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0DE08389" w14:textId="6AD1F2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DF6D6E" w14:paraId="10EB115E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74386970" w14:textId="39C595CB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Risk Management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3331EC0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1D3838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DF6D6E" w14:paraId="4A0FD0B7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41674170" w14:textId="4AF526F6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Strategic Planning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3146426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6F6D2A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B01072" w14:paraId="0103628E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1EF3C7FF" w14:textId="47339D34">
            <w:pPr>
              <w:pStyle w:val="ListParagraph"/>
              <w:numPr>
                <w:ilvl w:val="0"/>
                <w:numId w:val="2"/>
              </w:num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Financial Oversight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094C56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000000" w:sz="18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50A9112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B01072" w14:paraId="4D80E56A" w14:textId="77777777">
        <w:trPr>
          <w:trHeight w:val="690"/>
        </w:trPr>
        <w:tc>
          <w:tcPr>
            <w:tcW w:w="4098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70465A7C" w14:textId="6F6DA35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Role of the Board Chair (if relevant to this Board member)</w:t>
            </w: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560A4BAB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000000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6405CC7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DF6D6E" w14:paraId="754813CF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7E2BAA6F" w14:textId="749FF719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Role of the Treasurer (if relevant to this Board member)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6C365AE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7C4B715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00B01072" w:rsidTr="00DF6D6E" w14:paraId="34AA143E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00B01072" w:rsidP="00B01072" w:rsidRDefault="00B01072" w14:paraId="4277B586" w14:textId="01295EE5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The Role of the Company Secretary (if relevant to this Board member)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057BBB3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00B01072" w:rsidP="00DF6D6E" w:rsidRDefault="00B01072" w14:paraId="76C9BEC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7726EE5F" w:rsidTr="00DF6D6E" w14:paraId="107DDC1B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7726EE5F" w14:paraId="28B96083" w14:textId="15101E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Fundraising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55F8BA93" w14:textId="18D606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1CFC4D9F" w14:textId="001E2B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7726EE5F" w:rsidTr="00DF6D6E" w14:paraId="7AFFB15D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00DF6D6E" w14:paraId="0E742FFB" w14:textId="3DA0AF4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>HR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7D6DA413" w14:textId="1FE06E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1AD848F6" w14:textId="69D174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36CFB" w:rsidR="7726EE5F" w:rsidTr="00DF6D6E" w14:paraId="456C611E" w14:textId="77777777">
        <w:trPr>
          <w:trHeight w:val="690"/>
        </w:trPr>
        <w:tc>
          <w:tcPr>
            <w:tcW w:w="4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636CFB" w:rsidR="7726EE5F" w:rsidP="00B01072" w:rsidRDefault="7726EE5F" w14:paraId="73D6E5D7" w14:textId="31077F9E">
            <w:pPr>
              <w:pStyle w:val="ListParagraph"/>
              <w:numPr>
                <w:ilvl w:val="0"/>
                <w:numId w:val="2"/>
              </w:numPr>
              <w:rPr>
                <w:rFonts w:ascii="Arial" w:hAnsi="Arial" w:eastAsia="Calibri" w:cs="Arial"/>
                <w:sz w:val="20"/>
                <w:szCs w:val="20"/>
              </w:rPr>
            </w:pPr>
            <w:r w:rsidRPr="00636CFB">
              <w:rPr>
                <w:rFonts w:ascii="Arial" w:hAnsi="Arial" w:eastAsia="Calibri" w:cs="Arial"/>
                <w:sz w:val="20"/>
                <w:szCs w:val="20"/>
              </w:rPr>
              <w:t xml:space="preserve">Insert other </w:t>
            </w:r>
            <w:r w:rsidRPr="00636CFB" w:rsidR="00DF6D6E">
              <w:rPr>
                <w:rFonts w:ascii="Arial" w:hAnsi="Arial" w:eastAsia="Calibri" w:cs="Arial"/>
                <w:sz w:val="20"/>
                <w:szCs w:val="20"/>
              </w:rPr>
              <w:t>areas which are</w:t>
            </w:r>
            <w:r w:rsidRPr="00636CFB">
              <w:rPr>
                <w:rFonts w:ascii="Arial" w:hAnsi="Arial" w:eastAsia="Calibri" w:cs="Arial"/>
                <w:sz w:val="20"/>
                <w:szCs w:val="20"/>
              </w:rPr>
              <w:t xml:space="preserve"> important to your Board.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768FA429" w14:textId="36E7B6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:rsidRPr="00636CFB" w:rsidR="7726EE5F" w:rsidP="00DF6D6E" w:rsidRDefault="7726EE5F" w14:paraId="489A4DD7" w14:textId="41D294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636CFB" w:rsidR="7726EE5F" w:rsidP="7726EE5F" w:rsidRDefault="7726EE5F" w14:paraId="79E0454A" w14:textId="67C9BCBA">
      <w:pPr>
        <w:rPr>
          <w:rFonts w:ascii="Arial" w:hAnsi="Arial" w:cs="Arial"/>
          <w:sz w:val="20"/>
          <w:szCs w:val="20"/>
        </w:rPr>
      </w:pPr>
    </w:p>
    <w:sectPr w:rsidRPr="00636CFB" w:rsidR="7726EE5F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3F3" w:rsidP="008363F3" w:rsidRDefault="008363F3" w14:paraId="06D5619D" w14:textId="77777777">
      <w:pPr>
        <w:spacing w:after="0" w:line="240" w:lineRule="auto"/>
      </w:pPr>
      <w:r>
        <w:separator/>
      </w:r>
    </w:p>
  </w:endnote>
  <w:endnote w:type="continuationSeparator" w:id="0">
    <w:p w:rsidR="008363F3" w:rsidP="008363F3" w:rsidRDefault="008363F3" w14:paraId="21DD126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363F3" w:rsidRDefault="008363F3" w14:paraId="61844D2D" w14:textId="37CF8833">
    <w:pPr>
      <w:pStyle w:val="Footer"/>
    </w:pPr>
    <w:r w:rsidRPr="00864584">
      <w:rPr>
        <w:rFonts w:ascii="Arial Black" w:hAnsi="Arial Black"/>
        <w:noProof/>
        <w:sz w:val="20"/>
        <w:szCs w:val="20"/>
        <w:lang w:eastAsia="en-IE"/>
      </w:rPr>
      <w:drawing>
        <wp:anchor distT="0" distB="0" distL="114300" distR="114300" simplePos="0" relativeHeight="251661312" behindDoc="0" locked="0" layoutInCell="1" allowOverlap="1" wp14:anchorId="31E440F9" wp14:editId="34E31F22">
          <wp:simplePos x="0" y="0"/>
          <wp:positionH relativeFrom="margin">
            <wp:posOffset>5153025</wp:posOffset>
          </wp:positionH>
          <wp:positionV relativeFrom="bottomMargin">
            <wp:posOffset>295910</wp:posOffset>
          </wp:positionV>
          <wp:extent cx="1049020" cy="109855"/>
          <wp:effectExtent l="0" t="0" r="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10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</w:rPr>
      <w:t>©</w:t>
    </w:r>
    <w:r>
      <w:t xml:space="preserve"> Carmichael</w:t>
    </w:r>
    <w:r w:rsidRPr="00864584">
      <w:rPr>
        <w:rFonts w:ascii="Arial Black" w:hAnsi="Arial Black"/>
        <w:noProof/>
        <w:sz w:val="20"/>
        <w:szCs w:val="20"/>
        <w:lang w:eastAsia="en-I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3F3" w:rsidP="008363F3" w:rsidRDefault="008363F3" w14:paraId="72967219" w14:textId="77777777">
      <w:pPr>
        <w:spacing w:after="0" w:line="240" w:lineRule="auto"/>
      </w:pPr>
      <w:r>
        <w:separator/>
      </w:r>
    </w:p>
  </w:footnote>
  <w:footnote w:type="continuationSeparator" w:id="0">
    <w:p w:rsidR="008363F3" w:rsidP="008363F3" w:rsidRDefault="008363F3" w14:paraId="7AD355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8363F3" w:rsidRDefault="008363F3" w14:paraId="0CCF63D8" w14:textId="3BC35394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4F6A2863" wp14:editId="63F7AE44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660838" cy="581025"/>
          <wp:effectExtent l="0" t="0" r="0" b="0"/>
          <wp:wrapSquare wrapText="bothSides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0838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185AC"/>
    <w:multiLevelType w:val="hybridMultilevel"/>
    <w:tmpl w:val="285EEF5E"/>
    <w:lvl w:ilvl="0" w:tplc="7F100DC2">
      <w:start w:val="1"/>
      <w:numFmt w:val="decimal"/>
      <w:lvlText w:val="%1-"/>
      <w:lvlJc w:val="left"/>
      <w:pPr>
        <w:ind w:left="720" w:hanging="360"/>
      </w:pPr>
    </w:lvl>
    <w:lvl w:ilvl="1" w:tplc="1D103814">
      <w:start w:val="1"/>
      <w:numFmt w:val="lowerLetter"/>
      <w:lvlText w:val="%2."/>
      <w:lvlJc w:val="left"/>
      <w:pPr>
        <w:ind w:left="1440" w:hanging="360"/>
      </w:pPr>
    </w:lvl>
    <w:lvl w:ilvl="2" w:tplc="C74C403E">
      <w:start w:val="1"/>
      <w:numFmt w:val="lowerRoman"/>
      <w:lvlText w:val="%3."/>
      <w:lvlJc w:val="right"/>
      <w:pPr>
        <w:ind w:left="2160" w:hanging="180"/>
      </w:pPr>
    </w:lvl>
    <w:lvl w:ilvl="3" w:tplc="F44A4C3C">
      <w:start w:val="1"/>
      <w:numFmt w:val="decimal"/>
      <w:lvlText w:val="%4."/>
      <w:lvlJc w:val="left"/>
      <w:pPr>
        <w:ind w:left="2880" w:hanging="360"/>
      </w:pPr>
    </w:lvl>
    <w:lvl w:ilvl="4" w:tplc="03ECB004">
      <w:start w:val="1"/>
      <w:numFmt w:val="lowerLetter"/>
      <w:lvlText w:val="%5."/>
      <w:lvlJc w:val="left"/>
      <w:pPr>
        <w:ind w:left="3600" w:hanging="360"/>
      </w:pPr>
    </w:lvl>
    <w:lvl w:ilvl="5" w:tplc="004475EE">
      <w:start w:val="1"/>
      <w:numFmt w:val="lowerRoman"/>
      <w:lvlText w:val="%6."/>
      <w:lvlJc w:val="right"/>
      <w:pPr>
        <w:ind w:left="4320" w:hanging="180"/>
      </w:pPr>
    </w:lvl>
    <w:lvl w:ilvl="6" w:tplc="D046AABC">
      <w:start w:val="1"/>
      <w:numFmt w:val="decimal"/>
      <w:lvlText w:val="%7."/>
      <w:lvlJc w:val="left"/>
      <w:pPr>
        <w:ind w:left="5040" w:hanging="360"/>
      </w:pPr>
    </w:lvl>
    <w:lvl w:ilvl="7" w:tplc="A26C82D2">
      <w:start w:val="1"/>
      <w:numFmt w:val="lowerLetter"/>
      <w:lvlText w:val="%8."/>
      <w:lvlJc w:val="left"/>
      <w:pPr>
        <w:ind w:left="5760" w:hanging="360"/>
      </w:pPr>
    </w:lvl>
    <w:lvl w:ilvl="8" w:tplc="43A0BA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3F61"/>
    <w:multiLevelType w:val="hybridMultilevel"/>
    <w:tmpl w:val="DD00F03A"/>
    <w:lvl w:ilvl="0" w:tplc="03E6F3C4">
      <w:start w:val="1"/>
      <w:numFmt w:val="decimal"/>
      <w:lvlText w:val="%1."/>
      <w:lvlJc w:val="left"/>
      <w:pPr>
        <w:ind w:left="720" w:hanging="360"/>
      </w:pPr>
      <w:rPr>
        <w:rFonts w:hint="default" w:eastAsia="Calibri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219F0A"/>
    <w:rsid w:val="0007408A"/>
    <w:rsid w:val="00636CFB"/>
    <w:rsid w:val="008363F3"/>
    <w:rsid w:val="009568F5"/>
    <w:rsid w:val="00B01072"/>
    <w:rsid w:val="00DF6D6E"/>
    <w:rsid w:val="12219F0A"/>
    <w:rsid w:val="367629A0"/>
    <w:rsid w:val="44D754AC"/>
    <w:rsid w:val="7128D703"/>
    <w:rsid w:val="7726EE5F"/>
    <w:rsid w:val="7F218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F1C2"/>
  <w15:chartTrackingRefBased/>
  <w15:docId w15:val="{5D00843F-15BA-45C3-8DD5-519AE864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n-I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B01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CF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63F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63F3"/>
    <w:rPr>
      <w:lang w:val="en-IE"/>
    </w:rPr>
  </w:style>
  <w:style w:type="paragraph" w:styleId="Footer">
    <w:name w:val="footer"/>
    <w:basedOn w:val="Normal"/>
    <w:link w:val="FooterChar"/>
    <w:uiPriority w:val="99"/>
    <w:unhideWhenUsed/>
    <w:rsid w:val="008363F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63F3"/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rmichaelireland.ie/resources/" TargetMode="External" Id="rId8" /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yperlink" Target="https://www.carmichaelireland.ie/courses/" TargetMode="External" Id="rId7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s://shows.acast.com/623a51eb5e7be90014a35726?fbclid=IwAR0locdUNsiNO3ROephFgKGItzRuIWSlTj2wMNkegIKeoOdJ1N2Tfc3pA1I" TargetMode="Externa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hyperlink" Target="https://www.carmichaelireland.ie/what-we-do/supports/board-chairs-network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carmichaelireland.ie/what-we-do/training-consultancy/consultancy-customised-training/" TargetMode="Externa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Róisín McGuigan</dc:creator>
  <keywords/>
  <dc:description/>
  <lastModifiedBy>Róisín McGuigan</lastModifiedBy>
  <revision>4</revision>
  <dcterms:created xsi:type="dcterms:W3CDTF">2022-07-06T11:05:00.0000000Z</dcterms:created>
  <dcterms:modified xsi:type="dcterms:W3CDTF">2022-07-06T11:47:55.8549197Z</dcterms:modified>
</coreProperties>
</file>